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70F6B" w:rsidRPr="002C655B" w:rsidRDefault="00170F6B" w:rsidP="002C655B">
      <w:pPr>
        <w:jc w:val="center"/>
        <w:rPr>
          <w:rFonts w:ascii="Calibri" w:hAnsi="Calibri" w:cs="Calibri"/>
          <w:b/>
          <w:bCs/>
          <w:color w:val="2F5496" w:themeColor="accent1" w:themeShade="BF"/>
          <w:sz w:val="32"/>
          <w:szCs w:val="32"/>
          <w:lang w:val="en-US"/>
        </w:rPr>
      </w:pPr>
      <w:r w:rsidRPr="002C655B">
        <w:rPr>
          <w:rFonts w:ascii="Calibri" w:hAnsi="Calibri" w:cs="Calibri"/>
          <w:b/>
          <w:bCs/>
          <w:color w:val="2F5496" w:themeColor="accent1" w:themeShade="BF"/>
          <w:sz w:val="32"/>
          <w:szCs w:val="32"/>
          <w:lang w:val="en-US"/>
        </w:rPr>
        <w:t>ROBERT DONOGHUE</w:t>
      </w:r>
    </w:p>
    <w:p w:rsidR="00170F6B" w:rsidRPr="002C655B" w:rsidRDefault="002C655B" w:rsidP="00170F6B">
      <w:pPr>
        <w:tabs>
          <w:tab w:val="left" w:pos="3074"/>
        </w:tabs>
        <w:jc w:val="center"/>
        <w:rPr>
          <w:rFonts w:ascii="Calibri" w:hAnsi="Calibri" w:cs="Calibri"/>
          <w:sz w:val="18"/>
          <w:szCs w:val="18"/>
          <w:lang w:val="en-US"/>
        </w:rPr>
      </w:pPr>
      <w:r>
        <w:rPr>
          <w:rFonts w:ascii="Calibri" w:hAnsi="Calibri" w:cs="Calibri"/>
          <w:sz w:val="18"/>
          <w:szCs w:val="18"/>
          <w:lang w:val="en-US"/>
        </w:rPr>
        <w:br/>
      </w:r>
      <w:r w:rsidR="00170F6B" w:rsidRPr="002C655B">
        <w:rPr>
          <w:rFonts w:ascii="Calibri" w:hAnsi="Calibri" w:cs="Calibri"/>
          <w:sz w:val="18"/>
          <w:szCs w:val="18"/>
          <w:lang w:val="en-US"/>
        </w:rPr>
        <w:t xml:space="preserve">Moonlight Drive, London </w:t>
      </w:r>
      <w:r>
        <w:rPr>
          <w:rFonts w:ascii="Calibri" w:hAnsi="Calibri" w:cs="Calibri"/>
          <w:sz w:val="18"/>
          <w:szCs w:val="18"/>
          <w:lang w:val="en-US"/>
        </w:rPr>
        <w:sym w:font="Symbol" w:char="F0B7"/>
      </w:r>
      <w:r w:rsidR="00170F6B" w:rsidRPr="002C655B">
        <w:rPr>
          <w:rFonts w:ascii="Calibri" w:hAnsi="Calibri" w:cs="Calibri"/>
          <w:sz w:val="18"/>
          <w:szCs w:val="18"/>
          <w:lang w:val="en-US"/>
        </w:rPr>
        <w:t xml:space="preserve"> 07522095929 </w:t>
      </w:r>
      <w:r>
        <w:rPr>
          <w:rFonts w:ascii="Calibri" w:hAnsi="Calibri" w:cs="Calibri"/>
          <w:sz w:val="18"/>
          <w:szCs w:val="18"/>
          <w:lang w:val="en-US"/>
        </w:rPr>
        <w:sym w:font="Symbol" w:char="F0B7"/>
      </w:r>
      <w:r w:rsidR="00170F6B" w:rsidRPr="002C655B">
        <w:rPr>
          <w:rFonts w:ascii="Calibri" w:hAnsi="Calibri" w:cs="Calibri"/>
          <w:sz w:val="18"/>
          <w:szCs w:val="18"/>
          <w:lang w:val="en-US"/>
        </w:rPr>
        <w:t xml:space="preserve"> bsdonoghue@gmail.com </w:t>
      </w:r>
      <w:r>
        <w:rPr>
          <w:rFonts w:ascii="Calibri" w:hAnsi="Calibri" w:cs="Calibri"/>
          <w:sz w:val="18"/>
          <w:szCs w:val="18"/>
          <w:lang w:val="en-US"/>
        </w:rPr>
        <w:sym w:font="Symbol" w:char="F0B7"/>
      </w:r>
      <w:r w:rsidR="00170F6B" w:rsidRPr="002C655B">
        <w:rPr>
          <w:rFonts w:ascii="Calibri" w:hAnsi="Calibri" w:cs="Calibri"/>
          <w:sz w:val="18"/>
          <w:szCs w:val="18"/>
          <w:lang w:val="en-US"/>
        </w:rPr>
        <w:t xml:space="preserve"> robertdonoghue.com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  <w:lang w:val="en-US"/>
        </w:rPr>
      </w:pP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3"/>
      </w:tblGrid>
      <w:tr w:rsidR="00177E61" w:rsidTr="00177E61">
        <w:tc>
          <w:tcPr>
            <w:tcW w:w="9163" w:type="dxa"/>
          </w:tcPr>
          <w:p w:rsidR="00177E61" w:rsidRPr="00177E61" w:rsidRDefault="00177E61" w:rsidP="00170F6B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color w:val="2F5496" w:themeColor="accent1" w:themeShade="BF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color w:val="2F5496" w:themeColor="accent1" w:themeShade="BF"/>
                <w:lang w:val="en-US"/>
              </w:rPr>
              <w:t xml:space="preserve">SUMMARY </w:t>
            </w:r>
          </w:p>
        </w:tc>
      </w:tr>
      <w:tr w:rsidR="00177E61" w:rsidTr="00177E61">
        <w:tc>
          <w:tcPr>
            <w:tcW w:w="9163" w:type="dxa"/>
          </w:tcPr>
          <w:p w:rsidR="00177E61" w:rsidRDefault="00177E61" w:rsidP="00170F6B">
            <w:pPr>
              <w:tabs>
                <w:tab w:val="left" w:pos="3074"/>
              </w:tabs>
              <w:rPr>
                <w:rFonts w:ascii="Calibri" w:hAnsi="Calibri" w:cs="Calibri"/>
                <w:sz w:val="20"/>
                <w:szCs w:val="20"/>
              </w:rPr>
            </w:pPr>
          </w:p>
          <w:p w:rsidR="00177E61" w:rsidRDefault="00177E61" w:rsidP="00170F6B">
            <w:pPr>
              <w:tabs>
                <w:tab w:val="left" w:pos="3074"/>
              </w:tabs>
              <w:rPr>
                <w:rFonts w:ascii="Calibri" w:hAnsi="Calibri" w:cs="Calibri"/>
                <w:sz w:val="20"/>
                <w:szCs w:val="20"/>
              </w:rPr>
            </w:pPr>
            <w:r w:rsidRPr="002C655B">
              <w:rPr>
                <w:rFonts w:ascii="Calibri" w:hAnsi="Calibri" w:cs="Calibri"/>
                <w:sz w:val="20"/>
                <w:szCs w:val="20"/>
              </w:rPr>
              <w:t xml:space="preserve">My research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focuses on the intersection of </w:t>
            </w:r>
            <w:r w:rsidRPr="002C655B">
              <w:rPr>
                <w:rFonts w:ascii="Calibri" w:hAnsi="Calibri" w:cs="Calibri"/>
                <w:sz w:val="20"/>
                <w:szCs w:val="20"/>
              </w:rPr>
              <w:t>ethics, technology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2C655B">
              <w:rPr>
                <w:rFonts w:ascii="Calibri" w:hAnsi="Calibri" w:cs="Calibri"/>
                <w:sz w:val="20"/>
                <w:szCs w:val="20"/>
              </w:rPr>
              <w:t xml:space="preserve"> and work. I combine a philosophical orientation with social science methods to produce high impact research in collaboration with stakeholders from academia, NGOs, and governmental agencies.</w:t>
            </w:r>
          </w:p>
        </w:tc>
      </w:tr>
    </w:tbl>
    <w:p w:rsidR="002C655B" w:rsidRDefault="002C655B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  <w:lang w:val="en-US"/>
        </w:rPr>
      </w:pP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3"/>
      </w:tblGrid>
      <w:tr w:rsidR="00177E61" w:rsidTr="00177E61">
        <w:tc>
          <w:tcPr>
            <w:tcW w:w="9163" w:type="dxa"/>
          </w:tcPr>
          <w:p w:rsidR="00177E61" w:rsidRDefault="00177E61" w:rsidP="00177E61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color w:val="2F5496" w:themeColor="accent1" w:themeShade="BF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color w:val="2F5496" w:themeColor="accent1" w:themeShade="BF"/>
                <w:lang w:val="en-US"/>
              </w:rPr>
              <w:t>EDUCATION</w:t>
            </w:r>
          </w:p>
        </w:tc>
      </w:tr>
    </w:tbl>
    <w:p w:rsidR="00177E61" w:rsidRPr="00177E61" w:rsidRDefault="00177E61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  <w:lang w:val="en-US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212"/>
      </w:tblGrid>
      <w:tr w:rsidR="00170F6B" w:rsidRPr="00170F6B" w:rsidTr="00170F6B">
        <w:tc>
          <w:tcPr>
            <w:tcW w:w="6946" w:type="dxa"/>
          </w:tcPr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Doctor of Philosophy, Social and Policy Sciences</w:t>
            </w:r>
          </w:p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70F6B">
              <w:rPr>
                <w:rFonts w:ascii="Calibri" w:hAnsi="Calibri" w:cs="Calibri"/>
                <w:sz w:val="20"/>
                <w:szCs w:val="20"/>
                <w:lang w:val="en-US"/>
              </w:rPr>
              <w:t>University of Bath (United Kingdom)</w:t>
            </w:r>
          </w:p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170F6B">
              <w:rPr>
                <w:rFonts w:ascii="Calibri" w:hAnsi="Calibri" w:cs="Calibri"/>
                <w:sz w:val="18"/>
                <w:szCs w:val="18"/>
                <w:lang w:val="en-US"/>
              </w:rPr>
              <w:t>-</w:t>
            </w:r>
            <w:proofErr w:type="spellStart"/>
            <w:r w:rsidRPr="00170F6B">
              <w:rPr>
                <w:rFonts w:ascii="Calibri" w:hAnsi="Calibri" w:cs="Calibri"/>
                <w:sz w:val="18"/>
                <w:szCs w:val="18"/>
                <w:lang w:val="en-US"/>
              </w:rPr>
              <w:t>Specialisation</w:t>
            </w:r>
            <w:proofErr w:type="spellEnd"/>
            <w:r w:rsidRPr="00170F6B">
              <w:rPr>
                <w:rFonts w:ascii="Calibri" w:hAnsi="Calibri" w:cs="Calibri"/>
                <w:sz w:val="18"/>
                <w:szCs w:val="18"/>
                <w:lang w:val="en-US"/>
              </w:rPr>
              <w:t xml:space="preserve"> in political theory and sociology of work</w:t>
            </w:r>
          </w:p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18"/>
                <w:szCs w:val="18"/>
                <w:lang w:val="en-US"/>
              </w:rPr>
              <w:t>-Thesis: Neo-Roman Freedom in Economic Life</w:t>
            </w:r>
          </w:p>
        </w:tc>
        <w:tc>
          <w:tcPr>
            <w:tcW w:w="2212" w:type="dxa"/>
          </w:tcPr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Oct 2017 – Mar 2023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lang w:val="en-US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212"/>
      </w:tblGrid>
      <w:tr w:rsidR="00170F6B" w:rsidRPr="00170F6B" w:rsidTr="00170F6B">
        <w:tc>
          <w:tcPr>
            <w:tcW w:w="6946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proofErr w:type="gramStart"/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Masters of Arts</w:t>
            </w:r>
            <w:proofErr w:type="gramEnd"/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, Sociology</w:t>
            </w:r>
          </w:p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70F6B">
              <w:rPr>
                <w:rFonts w:ascii="Calibri" w:hAnsi="Calibri" w:cs="Calibri"/>
                <w:sz w:val="20"/>
                <w:szCs w:val="20"/>
                <w:lang w:val="en-US"/>
              </w:rPr>
              <w:t>George Washington University</w:t>
            </w:r>
          </w:p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170F6B">
              <w:rPr>
                <w:rFonts w:ascii="Calibri" w:hAnsi="Calibri" w:cs="Calibri"/>
                <w:sz w:val="18"/>
                <w:szCs w:val="18"/>
                <w:lang w:val="en-US"/>
              </w:rPr>
              <w:t>-Concentration in social inequality</w:t>
            </w:r>
          </w:p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18"/>
                <w:szCs w:val="18"/>
                <w:lang w:val="en-US"/>
              </w:rPr>
              <w:t>-Thesis: The Moral Crisis of a Jobless Future</w:t>
            </w:r>
          </w:p>
        </w:tc>
        <w:tc>
          <w:tcPr>
            <w:tcW w:w="2212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Sep 2016 – Mar 2023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lang w:val="en-US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212"/>
      </w:tblGrid>
      <w:tr w:rsidR="00170F6B" w:rsidRPr="00170F6B" w:rsidTr="00170F6B">
        <w:tc>
          <w:tcPr>
            <w:tcW w:w="6946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Bachelor of Arts, Philosophy &amp; Sociology</w:t>
            </w:r>
          </w:p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170F6B">
              <w:rPr>
                <w:rFonts w:ascii="Calibri" w:hAnsi="Calibri" w:cs="Calibri"/>
                <w:sz w:val="20"/>
                <w:szCs w:val="20"/>
                <w:lang w:val="en-US"/>
              </w:rPr>
              <w:t>George Washington University</w:t>
            </w:r>
          </w:p>
        </w:tc>
        <w:tc>
          <w:tcPr>
            <w:tcW w:w="2212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Sep 2012 – May 2016</w:t>
            </w:r>
          </w:p>
        </w:tc>
      </w:tr>
    </w:tbl>
    <w:p w:rsid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  <w:lang w:val="en-US"/>
        </w:rPr>
      </w:pPr>
    </w:p>
    <w:tbl>
      <w:tblPr>
        <w:tblStyle w:val="TableGrid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3"/>
      </w:tblGrid>
      <w:tr w:rsidR="00177E61" w:rsidTr="00177E61">
        <w:tc>
          <w:tcPr>
            <w:tcW w:w="9163" w:type="dxa"/>
          </w:tcPr>
          <w:p w:rsidR="00177E61" w:rsidRPr="00177E61" w:rsidRDefault="00177E61" w:rsidP="00170F6B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color w:val="2F5496" w:themeColor="accent1" w:themeShade="BF"/>
                <w:lang w:val="en-US"/>
              </w:rPr>
              <w:t>PROFESSIONAL EXPERIENCE</w:t>
            </w:r>
          </w:p>
        </w:tc>
      </w:tr>
    </w:tbl>
    <w:p w:rsidR="00177E61" w:rsidRPr="00170F6B" w:rsidRDefault="00177E61" w:rsidP="00170F6B">
      <w:pPr>
        <w:tabs>
          <w:tab w:val="left" w:pos="3074"/>
        </w:tabs>
        <w:rPr>
          <w:rFonts w:ascii="Calibri" w:hAnsi="Calibri" w:cs="Calibri"/>
          <w:lang w:val="en-US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212"/>
      </w:tblGrid>
      <w:tr w:rsidR="00170F6B" w:rsidRPr="00170F6B" w:rsidTr="00170F6B">
        <w:tc>
          <w:tcPr>
            <w:tcW w:w="6946" w:type="dxa"/>
          </w:tcPr>
          <w:p w:rsidR="00170F6B" w:rsidRPr="00170F6B" w:rsidRDefault="00170F6B" w:rsidP="00170F6B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Lecturer, Essex Business School, University of Essex</w:t>
            </w:r>
          </w:p>
        </w:tc>
        <w:tc>
          <w:tcPr>
            <w:tcW w:w="2212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Sep 2012 – May 2016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-Researching ethical issues in the workplace, including the social impacts of AI and algorithmic management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-Co-Leading the AI Policy Observatory for the World of Work (AIPOWW)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-Serving as Module Leader and Module Lecturer for a range of Management and MBA courses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1928"/>
      </w:tblGrid>
      <w:tr w:rsidR="00170F6B" w:rsidRPr="00170F6B" w:rsidTr="00170F6B">
        <w:tc>
          <w:tcPr>
            <w:tcW w:w="7230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Research Fellow, RAND Europe</w:t>
            </w:r>
          </w:p>
        </w:tc>
        <w:tc>
          <w:tcPr>
            <w:tcW w:w="1928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Jan 2024 – Present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-Developing an evidence centre for research on occupational health and safety with Lloyds Register Foundation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-Conducting rapid evidence assessments of AI tool efficacy in research processes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lang w:val="en-US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1928"/>
      </w:tblGrid>
      <w:tr w:rsidR="00170F6B" w:rsidRPr="00170F6B" w:rsidTr="00170F6B">
        <w:tc>
          <w:tcPr>
            <w:tcW w:w="7230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 xml:space="preserve">External Collaborator, International </w:t>
            </w:r>
            <w:proofErr w:type="spellStart"/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Labour</w:t>
            </w:r>
            <w:proofErr w:type="spellEnd"/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Organisation</w:t>
            </w:r>
            <w:proofErr w:type="spellEnd"/>
          </w:p>
        </w:tc>
        <w:tc>
          <w:tcPr>
            <w:tcW w:w="1928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Apr 2022 – Present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-Working with members of the ILO Research Department to build AIPOWW for tracking global AI regulation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-Conducting research for the LABADMIN/OSH department on the ‘new normal’ and post-Covid ways of working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2"/>
          <w:szCs w:val="22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8"/>
        <w:gridCol w:w="2070"/>
      </w:tblGrid>
      <w:tr w:rsidR="00170F6B" w:rsidRPr="00170F6B" w:rsidTr="00170F6B">
        <w:tc>
          <w:tcPr>
            <w:tcW w:w="7088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Policy Analyst, RAND Europe</w:t>
            </w:r>
          </w:p>
        </w:tc>
        <w:tc>
          <w:tcPr>
            <w:tcW w:w="2070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Jan 2023 – Oct 2023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-Worked in the Health and Well-Being department on various projects related to employment, occupational health and safety, and EU migration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88"/>
        <w:gridCol w:w="2070"/>
      </w:tblGrid>
      <w:tr w:rsidR="00170F6B" w:rsidRPr="00170F6B" w:rsidTr="00170F6B">
        <w:tc>
          <w:tcPr>
            <w:tcW w:w="7088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  <w:t>Guest Lecturer, University of Bath</w:t>
            </w:r>
          </w:p>
        </w:tc>
        <w:tc>
          <w:tcPr>
            <w:tcW w:w="2070" w:type="dxa"/>
          </w:tcPr>
          <w:p w:rsidR="00170F6B" w:rsidRPr="00170F6B" w:rsidRDefault="00170F6B" w:rsidP="002108BC">
            <w:pPr>
              <w:tabs>
                <w:tab w:val="left" w:pos="3074"/>
              </w:tabs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70F6B">
              <w:rPr>
                <w:rFonts w:ascii="Calibri" w:hAnsi="Calibri" w:cs="Calibri"/>
                <w:sz w:val="22"/>
                <w:szCs w:val="22"/>
                <w:lang w:val="en-US"/>
              </w:rPr>
              <w:t>Oct 2022 – Jun 2023</w:t>
            </w:r>
          </w:p>
        </w:tc>
      </w:tr>
    </w:tbl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eastAsia="Times New Roman" w:hAnsi="Calibri" w:cs="Calibri"/>
          <w:color w:val="1E1E1E"/>
          <w:sz w:val="20"/>
          <w:szCs w:val="20"/>
          <w:lang w:eastAsia="en-GB"/>
        </w:rPr>
        <w:t>-Convened post-graduate units on social digitalisation and AITs in political practice for the Social and Policy Sciences Department.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b/>
          <w:bCs/>
          <w:color w:val="2F5496" w:themeColor="accent1" w:themeShade="BF"/>
        </w:rPr>
        <w:t xml:space="preserve">PUBLICATIONS 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 xml:space="preserve">Journal Articles 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Donoghue, R. ‘Algorithmic management: a threat to the freedom of workers as choosing </w:t>
      </w:r>
      <w:proofErr w:type="gramStart"/>
      <w:r w:rsidRPr="00170F6B">
        <w:rPr>
          <w:rFonts w:ascii="Calibri" w:hAnsi="Calibri" w:cs="Calibri"/>
          <w:sz w:val="20"/>
          <w:szCs w:val="20"/>
        </w:rPr>
        <w:t>subjects’</w:t>
      </w:r>
      <w:proofErr w:type="gramEnd"/>
      <w:r w:rsidRPr="00170F6B">
        <w:rPr>
          <w:rFonts w:ascii="Calibri" w:hAnsi="Calibri" w:cs="Calibri"/>
          <w:sz w:val="20"/>
          <w:szCs w:val="20"/>
        </w:rPr>
        <w:t>. Under review. Submitted January 2024.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Vieira, T., Moore, P., Donoghue, R. ‘The Machine that wore no clothes: Insights into the phantom algorithm through the lens of an automated dismissal’ Friedrich Ebert Stiftung. 2023.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proofErr w:type="spellStart"/>
      <w:r w:rsidRPr="00170F6B">
        <w:rPr>
          <w:rFonts w:ascii="Calibri" w:hAnsi="Calibri" w:cs="Calibri"/>
          <w:sz w:val="20"/>
          <w:szCs w:val="20"/>
        </w:rPr>
        <w:t>Cefaliello</w:t>
      </w:r>
      <w:proofErr w:type="spellEnd"/>
      <w:r w:rsidRPr="00170F6B">
        <w:rPr>
          <w:rFonts w:ascii="Calibri" w:hAnsi="Calibri" w:cs="Calibri"/>
          <w:sz w:val="20"/>
          <w:szCs w:val="20"/>
        </w:rPr>
        <w:t>, Aude, Phoebe V. Moore, and Robert Donoghue. "Making algorithmic management safe and healthy for workers: addressing psychosocial risks in new legal provisions." European Labour Law Journal 14, no. 2 (2023): 192-210.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Donoghue, Robert. "Hegel’s Treatment of the Free Will Problem: </w:t>
      </w:r>
      <w:proofErr w:type="gramStart"/>
      <w:r w:rsidRPr="00170F6B">
        <w:rPr>
          <w:rFonts w:ascii="Calibri" w:hAnsi="Calibri" w:cs="Calibri"/>
          <w:sz w:val="20"/>
          <w:szCs w:val="20"/>
        </w:rPr>
        <w:t>a</w:t>
      </w:r>
      <w:proofErr w:type="gramEnd"/>
      <w:r w:rsidRPr="00170F6B">
        <w:rPr>
          <w:rFonts w:ascii="Calibri" w:hAnsi="Calibri" w:cs="Calibri"/>
          <w:sz w:val="20"/>
          <w:szCs w:val="20"/>
        </w:rPr>
        <w:t xml:space="preserve"> Conceptual Oversight and Its Implications for Legal Theory." </w:t>
      </w:r>
      <w:proofErr w:type="spellStart"/>
      <w:r w:rsidRPr="00170F6B">
        <w:rPr>
          <w:rFonts w:ascii="Calibri" w:hAnsi="Calibri" w:cs="Calibri"/>
          <w:sz w:val="20"/>
          <w:szCs w:val="20"/>
        </w:rPr>
        <w:t>Symposion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8, no. 2 (2021): 155-174.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Donoghue, R., (2020). ‘A neo-republican critique of hard libertarianism’, </w:t>
      </w:r>
      <w:proofErr w:type="spellStart"/>
      <w:r w:rsidRPr="00170F6B">
        <w:rPr>
          <w:rFonts w:ascii="Calibri" w:hAnsi="Calibri" w:cs="Calibri"/>
          <w:sz w:val="20"/>
          <w:szCs w:val="20"/>
        </w:rPr>
        <w:t>Etica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e </w:t>
      </w:r>
      <w:proofErr w:type="spellStart"/>
      <w:r w:rsidRPr="00170F6B">
        <w:rPr>
          <w:rFonts w:ascii="Calibri" w:hAnsi="Calibri" w:cs="Calibri"/>
          <w:sz w:val="20"/>
          <w:szCs w:val="20"/>
        </w:rPr>
        <w:t>Politica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/ Ethics &amp; Politics, 22(3): 703-727.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Donoghue, R. (2020) ‘</w:t>
      </w:r>
      <w:proofErr w:type="spellStart"/>
      <w:r w:rsidRPr="00170F6B">
        <w:rPr>
          <w:rFonts w:ascii="Calibri" w:hAnsi="Calibri" w:cs="Calibri"/>
          <w:sz w:val="20"/>
          <w:szCs w:val="20"/>
        </w:rPr>
        <w:t>Emancipationism</w:t>
      </w:r>
      <w:proofErr w:type="spellEnd"/>
      <w:r w:rsidRPr="00170F6B">
        <w:rPr>
          <w:rFonts w:ascii="Calibri" w:hAnsi="Calibri" w:cs="Calibri"/>
          <w:sz w:val="20"/>
          <w:szCs w:val="20"/>
        </w:rPr>
        <w:t>: an attempt to synthesize neo-republican and socialist thought’ Ethics, Politics &amp; Society, 3(1): 73–104.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Books and Chapters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Donoghue, R. ‘A Return to Freedom: the neo-republican antidote to neoliberal hegemony’. SUNY Press. </w:t>
      </w:r>
      <w:r w:rsidRPr="00170F6B">
        <w:rPr>
          <w:rFonts w:ascii="Calibri" w:hAnsi="Calibri" w:cs="Calibri"/>
          <w:i/>
          <w:iCs/>
          <w:sz w:val="20"/>
          <w:szCs w:val="20"/>
        </w:rPr>
        <w:t>Under Advanced Contract</w:t>
      </w:r>
      <w:r w:rsidRPr="00170F6B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Donoghue, R., </w:t>
      </w:r>
      <w:proofErr w:type="spellStart"/>
      <w:r w:rsidRPr="00170F6B">
        <w:rPr>
          <w:rFonts w:ascii="Calibri" w:hAnsi="Calibri" w:cs="Calibri"/>
          <w:sz w:val="20"/>
          <w:szCs w:val="20"/>
        </w:rPr>
        <w:t>Huaxin</w:t>
      </w:r>
      <w:proofErr w:type="spellEnd"/>
      <w:r w:rsidRPr="00170F6B">
        <w:rPr>
          <w:rFonts w:ascii="Calibri" w:hAnsi="Calibri" w:cs="Calibri"/>
          <w:sz w:val="20"/>
          <w:szCs w:val="20"/>
        </w:rPr>
        <w:t>, L., Moore, P. Ernst, E. ‘Competing approaches to AI regulation: the case of China, U.S., and the EU’ In the Handbook on AI and Public Policy edited by Emma Carmel. 1st ed. Edward Elgar. 2024.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Reports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Study exploring the context, challenges, opportunities, and trends in algorithmic management. Produced with Visionary Analytics for the EU Commission's Directorate-General for Employment, Social </w:t>
      </w:r>
      <w:proofErr w:type="gramStart"/>
      <w:r w:rsidRPr="00170F6B">
        <w:rPr>
          <w:rFonts w:ascii="Calibri" w:hAnsi="Calibri" w:cs="Calibri"/>
          <w:sz w:val="20"/>
          <w:szCs w:val="20"/>
        </w:rPr>
        <w:t>Affairs</w:t>
      </w:r>
      <w:proofErr w:type="gramEnd"/>
      <w:r w:rsidRPr="00170F6B">
        <w:rPr>
          <w:rFonts w:ascii="Calibri" w:hAnsi="Calibri" w:cs="Calibri"/>
          <w:sz w:val="20"/>
          <w:szCs w:val="20"/>
        </w:rPr>
        <w:t xml:space="preserve"> and Inclusion. Forthcoming.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Occupational safety and health implications of the ‘new normal’. International Labour Organisation’s LABADMIN/OSH. Forthcoming.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hyperlink r:id="rId5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Feasibility Study for a What Works Centre for Safety</w:t>
        </w:r>
      </w:hyperlink>
      <w:r w:rsidR="00170F6B" w:rsidRPr="00170F6B">
        <w:rPr>
          <w:rFonts w:ascii="Calibri" w:hAnsi="Calibri" w:cs="Calibri"/>
          <w:sz w:val="20"/>
          <w:szCs w:val="20"/>
        </w:rPr>
        <w:t> (RAND Europe, 2023)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hyperlink r:id="rId6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Employment and age in the Cambridgeshire and Peterborough Area: local evidence about workers aged 50 and older</w:t>
        </w:r>
      </w:hyperlink>
      <w:r w:rsidR="00170F6B" w:rsidRPr="00170F6B">
        <w:rPr>
          <w:rFonts w:ascii="Calibri" w:hAnsi="Calibri" w:cs="Calibri"/>
          <w:sz w:val="20"/>
          <w:szCs w:val="20"/>
        </w:rPr>
        <w:t> (RAND Europe, 2023)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hyperlink r:id="rId7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Cognitive Automation: implications for occupational health and safety</w:t>
        </w:r>
      </w:hyperlink>
      <w:r w:rsidR="00170F6B" w:rsidRPr="00170F6B">
        <w:rPr>
          <w:rFonts w:ascii="Calibri" w:hAnsi="Calibri" w:cs="Calibri"/>
          <w:sz w:val="20"/>
          <w:szCs w:val="20"/>
        </w:rPr>
        <w:t> (EU OSHA, 2022)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hyperlink r:id="rId8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Cognitive automation: what are the EU and Member States doing to protect workers?</w:t>
        </w:r>
      </w:hyperlink>
      <w:r w:rsidR="00170F6B" w:rsidRPr="00170F6B">
        <w:rPr>
          <w:rFonts w:ascii="Calibri" w:hAnsi="Calibri" w:cs="Calibri"/>
          <w:sz w:val="20"/>
          <w:szCs w:val="20"/>
        </w:rPr>
        <w:t> (EU OSHA, 2022)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hyperlink r:id="rId9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Cognitive Automation: impact, risks, and opportunities for occupational health and safety</w:t>
        </w:r>
      </w:hyperlink>
      <w:r w:rsidR="00170F6B" w:rsidRPr="00170F6B">
        <w:rPr>
          <w:rFonts w:ascii="Calibri" w:hAnsi="Calibri" w:cs="Calibri"/>
          <w:sz w:val="20"/>
          <w:szCs w:val="20"/>
        </w:rPr>
        <w:t> (EU OSHA, 2022)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Other Writings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i/>
          <w:iCs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Unpacking self-employment ‘flexibility’, </w:t>
      </w:r>
      <w:r w:rsidRPr="00170F6B">
        <w:rPr>
          <w:rFonts w:ascii="Calibri" w:hAnsi="Calibri" w:cs="Calibri"/>
          <w:i/>
          <w:iCs/>
          <w:sz w:val="20"/>
          <w:szCs w:val="20"/>
        </w:rPr>
        <w:t>Social Europe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i/>
          <w:iCs/>
          <w:sz w:val="20"/>
          <w:szCs w:val="20"/>
        </w:rPr>
      </w:pPr>
      <w:hyperlink r:id="rId10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Horrible bosses: how algorithm managers are taking over the office</w:t>
        </w:r>
      </w:hyperlink>
      <w:r w:rsidR="00170F6B" w:rsidRPr="00170F6B">
        <w:rPr>
          <w:rFonts w:ascii="Calibri" w:hAnsi="Calibri" w:cs="Calibri"/>
          <w:sz w:val="20"/>
          <w:szCs w:val="20"/>
        </w:rPr>
        <w:t>, </w:t>
      </w:r>
      <w:r w:rsidR="00170F6B" w:rsidRPr="00170F6B">
        <w:rPr>
          <w:rFonts w:ascii="Calibri" w:hAnsi="Calibri" w:cs="Calibri"/>
          <w:i/>
          <w:iCs/>
          <w:sz w:val="20"/>
          <w:szCs w:val="20"/>
        </w:rPr>
        <w:t>The Conversation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hyperlink r:id="rId11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Revisiting Pettit’s formula for freedom in a choice</w:t>
        </w:r>
      </w:hyperlink>
      <w:r w:rsidR="00170F6B" w:rsidRPr="00170F6B">
        <w:rPr>
          <w:rFonts w:ascii="Calibri" w:hAnsi="Calibri" w:cs="Calibri"/>
          <w:sz w:val="20"/>
          <w:szCs w:val="20"/>
        </w:rPr>
        <w:t>. </w:t>
      </w:r>
      <w:r w:rsidR="00170F6B" w:rsidRPr="00170F6B">
        <w:rPr>
          <w:rFonts w:ascii="Calibri" w:hAnsi="Calibri" w:cs="Calibri"/>
          <w:i/>
          <w:iCs/>
          <w:sz w:val="20"/>
          <w:szCs w:val="20"/>
        </w:rPr>
        <w:t>Academia Letters</w:t>
      </w:r>
      <w:r w:rsidR="00170F6B" w:rsidRPr="00170F6B">
        <w:rPr>
          <w:rFonts w:ascii="Calibri" w:hAnsi="Calibri" w:cs="Calibri"/>
          <w:sz w:val="20"/>
          <w:szCs w:val="20"/>
        </w:rPr>
        <w:t>, Article 446.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i/>
          <w:iCs/>
          <w:sz w:val="20"/>
          <w:szCs w:val="20"/>
        </w:rPr>
      </w:pPr>
      <w:hyperlink r:id="rId12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The gig economy, flexibility, and workplace freedom</w:t>
        </w:r>
      </w:hyperlink>
      <w:r w:rsidR="00170F6B" w:rsidRPr="00170F6B">
        <w:rPr>
          <w:rFonts w:ascii="Calibri" w:hAnsi="Calibri" w:cs="Calibri"/>
          <w:sz w:val="20"/>
          <w:szCs w:val="20"/>
        </w:rPr>
        <w:t>, </w:t>
      </w:r>
      <w:proofErr w:type="spellStart"/>
      <w:r w:rsidR="00170F6B" w:rsidRPr="00170F6B">
        <w:rPr>
          <w:rFonts w:ascii="Calibri" w:hAnsi="Calibri" w:cs="Calibri"/>
          <w:i/>
          <w:iCs/>
          <w:sz w:val="20"/>
          <w:szCs w:val="20"/>
        </w:rPr>
        <w:t>Epoché</w:t>
      </w:r>
      <w:proofErr w:type="spellEnd"/>
      <w:r w:rsidR="00170F6B" w:rsidRPr="00170F6B">
        <w:rPr>
          <w:rFonts w:ascii="Calibri" w:hAnsi="Calibri" w:cs="Calibri"/>
          <w:i/>
          <w:iCs/>
          <w:sz w:val="20"/>
          <w:szCs w:val="20"/>
        </w:rPr>
        <w:t xml:space="preserve"> Magazine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000000" w:rsidP="00170F6B">
      <w:pPr>
        <w:tabs>
          <w:tab w:val="left" w:pos="3074"/>
        </w:tabs>
        <w:rPr>
          <w:rFonts w:ascii="Calibri" w:hAnsi="Calibri" w:cs="Calibri"/>
          <w:i/>
          <w:iCs/>
          <w:sz w:val="20"/>
          <w:szCs w:val="20"/>
        </w:rPr>
      </w:pPr>
      <w:hyperlink r:id="rId13" w:tgtFrame="_blank" w:history="1">
        <w:r w:rsidR="00170F6B" w:rsidRPr="00170F6B">
          <w:rPr>
            <w:rStyle w:val="Hyperlink"/>
            <w:rFonts w:ascii="Calibri" w:hAnsi="Calibri" w:cs="Calibri"/>
            <w:sz w:val="20"/>
            <w:szCs w:val="20"/>
          </w:rPr>
          <w:t>Social media</w:t>
        </w:r>
      </w:hyperlink>
      <w:r w:rsidR="00170F6B" w:rsidRPr="00170F6B">
        <w:rPr>
          <w:rFonts w:ascii="Calibri" w:hAnsi="Calibri" w:cs="Calibri"/>
          <w:sz w:val="20"/>
          <w:szCs w:val="20"/>
        </w:rPr>
        <w:t> censorship and the insufficiency of liberal freedom, </w:t>
      </w:r>
      <w:r w:rsidR="00170F6B" w:rsidRPr="00170F6B">
        <w:rPr>
          <w:rFonts w:ascii="Calibri" w:hAnsi="Calibri" w:cs="Calibri"/>
          <w:i/>
          <w:iCs/>
          <w:sz w:val="20"/>
          <w:szCs w:val="20"/>
        </w:rPr>
        <w:t>Arc Digital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i/>
          <w:iCs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</w:rPr>
      </w:pPr>
      <w:r w:rsidRPr="00170F6B">
        <w:rPr>
          <w:rFonts w:ascii="Calibri" w:hAnsi="Calibri" w:cs="Calibri"/>
          <w:b/>
          <w:bCs/>
          <w:color w:val="2F5496" w:themeColor="accent1" w:themeShade="BF"/>
        </w:rPr>
        <w:t>TEACHING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Lecturer, University of Essex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BE402 Value and Values (Spring 2024)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BE485 Management and Strategy (Spring 2024)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BE938 Independent Study Project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BE917: Student Success Tutorial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Guest Lecturer, University of Bath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SP50340: Knowledge, data, and our digital social world (Spring 2023) Unit Convenor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SP50339: AI as Social and Political Practice: technology, society, &amp; politics (Fall 2022) Unit convenor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Second Faculty, Brooklyn Institute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Support in the delivery of courses on a wide range of subjects in social, political, and cultural theory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Previous courses topics include radical political economy, critical international relations, psychoanalysis, sociological thought, and literary criticism.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Seminar Tutor, University of Bath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SP20112 Contemporary Sociological Theory (Fall 2020)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SP20062 Qualitative Social Research Methods (Fall 2020)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SP10001 Social Policy, Welfare, and the State (Spring 2020)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SP10287 Social Policy and YOU (Spring 2019)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SP10001 Social Policy, Welfare, and the State (Spring 2019)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SP10043 Understanding Society: Britain in global context (Fall 2018)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SP20062 Qualitative Social Research Methods (Fall 2018)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SP10001 Social Policy, Welfare, and the State (Spring 2018)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sz w:val="20"/>
          <w:szCs w:val="20"/>
        </w:rPr>
      </w:pPr>
      <w:r w:rsidRPr="00170F6B">
        <w:rPr>
          <w:rFonts w:ascii="Calibri" w:hAnsi="Calibri" w:cs="Calibri"/>
          <w:b/>
          <w:bCs/>
          <w:sz w:val="20"/>
          <w:szCs w:val="20"/>
        </w:rPr>
        <w:t>Graduate Teaching Assistant, George Washington University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SOC 6231 Data Analysis (Spring 2017)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SOC 2102 Techniques of Data Analysis (Fall 2016)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  <w:sz w:val="22"/>
          <w:szCs w:val="22"/>
        </w:rPr>
      </w:pPr>
      <w:r w:rsidRPr="00170F6B">
        <w:rPr>
          <w:rFonts w:ascii="Calibri" w:hAnsi="Calibri" w:cs="Calibri"/>
          <w:b/>
          <w:bCs/>
          <w:color w:val="2F5496" w:themeColor="accent1" w:themeShade="BF"/>
          <w:sz w:val="22"/>
          <w:szCs w:val="22"/>
        </w:rPr>
        <w:t xml:space="preserve">CONFERENCE &amp; PRESENTATIONS 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BE5E2B" w:rsidRDefault="00BE5E2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“</w:t>
      </w:r>
      <w:r w:rsidRPr="00BE5E2B">
        <w:rPr>
          <w:rFonts w:ascii="Calibri" w:hAnsi="Calibri" w:cs="Calibri"/>
          <w:sz w:val="20"/>
          <w:szCs w:val="20"/>
        </w:rPr>
        <w:t>AI Regulation in the Multipolar World: The competing social logics of the G7 and BRICS</w:t>
      </w:r>
      <w:r>
        <w:rPr>
          <w:rFonts w:ascii="Calibri" w:hAnsi="Calibri" w:cs="Calibri"/>
          <w:sz w:val="20"/>
          <w:szCs w:val="20"/>
        </w:rPr>
        <w:t>.” British Academy conference on Global (Dis)Order.</w:t>
      </w:r>
      <w:r w:rsidR="00D64B9F">
        <w:rPr>
          <w:rFonts w:ascii="Calibri" w:hAnsi="Calibri" w:cs="Calibri"/>
          <w:sz w:val="20"/>
          <w:szCs w:val="20"/>
        </w:rPr>
        <w:t xml:space="preserve"> London.</w:t>
      </w:r>
      <w:r>
        <w:rPr>
          <w:rFonts w:ascii="Calibri" w:hAnsi="Calibri" w:cs="Calibri"/>
          <w:sz w:val="20"/>
          <w:szCs w:val="20"/>
        </w:rPr>
        <w:t xml:space="preserve"> January 2025. </w:t>
      </w:r>
    </w:p>
    <w:p w:rsidR="00BE5E2B" w:rsidRDefault="00BE5E2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“Algorithmic management: a threat to the freedom of workers as choosing subjects.” </w:t>
      </w:r>
      <w:proofErr w:type="spellStart"/>
      <w:r w:rsidRPr="00170F6B">
        <w:rPr>
          <w:rFonts w:ascii="Calibri" w:hAnsi="Calibri" w:cs="Calibri"/>
          <w:sz w:val="20"/>
          <w:szCs w:val="20"/>
        </w:rPr>
        <w:t>Congresso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170F6B">
        <w:rPr>
          <w:rFonts w:ascii="Calibri" w:hAnsi="Calibri" w:cs="Calibri"/>
          <w:sz w:val="20"/>
          <w:szCs w:val="20"/>
        </w:rPr>
        <w:t>Español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de </w:t>
      </w:r>
      <w:proofErr w:type="spellStart"/>
      <w:r w:rsidRPr="00170F6B">
        <w:rPr>
          <w:rFonts w:ascii="Calibri" w:hAnsi="Calibri" w:cs="Calibri"/>
          <w:sz w:val="20"/>
          <w:szCs w:val="20"/>
        </w:rPr>
        <w:t>Socología</w:t>
      </w:r>
      <w:proofErr w:type="spellEnd"/>
      <w:r w:rsidR="00D64B9F">
        <w:rPr>
          <w:rFonts w:ascii="Calibri" w:hAnsi="Calibri" w:cs="Calibri"/>
          <w:sz w:val="20"/>
          <w:szCs w:val="20"/>
        </w:rPr>
        <w:t>.</w:t>
      </w:r>
      <w:r w:rsidRPr="00170F6B">
        <w:rPr>
          <w:rFonts w:ascii="Calibri" w:hAnsi="Calibri" w:cs="Calibri"/>
          <w:sz w:val="20"/>
          <w:szCs w:val="20"/>
        </w:rPr>
        <w:t xml:space="preserve"> Seville</w:t>
      </w:r>
      <w:r w:rsidR="00D64B9F">
        <w:rPr>
          <w:rFonts w:ascii="Calibri" w:hAnsi="Calibri" w:cs="Calibri"/>
          <w:sz w:val="20"/>
          <w:szCs w:val="20"/>
        </w:rPr>
        <w:t xml:space="preserve">. </w:t>
      </w:r>
      <w:r w:rsidRPr="00170F6B">
        <w:rPr>
          <w:rFonts w:ascii="Calibri" w:hAnsi="Calibri" w:cs="Calibri"/>
          <w:sz w:val="20"/>
          <w:szCs w:val="20"/>
        </w:rPr>
        <w:t>June 2024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“Opening remarks on AI and social logics.” Geneva Macro Labs. </w:t>
      </w:r>
      <w:r w:rsidR="00D64B9F">
        <w:rPr>
          <w:rFonts w:ascii="Calibri" w:hAnsi="Calibri" w:cs="Calibri"/>
          <w:sz w:val="20"/>
          <w:szCs w:val="20"/>
        </w:rPr>
        <w:t xml:space="preserve">Online. </w:t>
      </w:r>
      <w:r w:rsidRPr="00170F6B">
        <w:rPr>
          <w:rFonts w:ascii="Calibri" w:hAnsi="Calibri" w:cs="Calibri"/>
          <w:sz w:val="20"/>
          <w:szCs w:val="20"/>
        </w:rPr>
        <w:t>2024</w:t>
      </w:r>
      <w:r w:rsidR="00D64B9F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“</w:t>
      </w:r>
      <w:proofErr w:type="spellStart"/>
      <w:r w:rsidRPr="00170F6B">
        <w:rPr>
          <w:rFonts w:ascii="Calibri" w:hAnsi="Calibri" w:cs="Calibri"/>
          <w:sz w:val="20"/>
          <w:szCs w:val="20"/>
        </w:rPr>
        <w:t>Observatorio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: </w:t>
      </w:r>
      <w:proofErr w:type="spellStart"/>
      <w:r w:rsidRPr="00170F6B">
        <w:rPr>
          <w:rFonts w:ascii="Calibri" w:hAnsi="Calibri" w:cs="Calibri"/>
          <w:sz w:val="20"/>
          <w:szCs w:val="20"/>
        </w:rPr>
        <w:t>Regulación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de la IA </w:t>
      </w:r>
      <w:proofErr w:type="spellStart"/>
      <w:r w:rsidRPr="00170F6B">
        <w:rPr>
          <w:rFonts w:ascii="Calibri" w:hAnsi="Calibri" w:cs="Calibri"/>
          <w:sz w:val="20"/>
          <w:szCs w:val="20"/>
        </w:rPr>
        <w:t>en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China y la Unión </w:t>
      </w:r>
      <w:proofErr w:type="spellStart"/>
      <w:r w:rsidRPr="00170F6B">
        <w:rPr>
          <w:rFonts w:ascii="Calibri" w:hAnsi="Calibri" w:cs="Calibri"/>
          <w:sz w:val="20"/>
          <w:szCs w:val="20"/>
        </w:rPr>
        <w:t>Europea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e </w:t>
      </w:r>
      <w:proofErr w:type="spellStart"/>
      <w:r w:rsidRPr="00170F6B">
        <w:rPr>
          <w:rFonts w:ascii="Calibri" w:hAnsi="Calibri" w:cs="Calibri"/>
          <w:sz w:val="20"/>
          <w:szCs w:val="20"/>
        </w:rPr>
        <w:t>impactos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170F6B">
        <w:rPr>
          <w:rFonts w:ascii="Calibri" w:hAnsi="Calibri" w:cs="Calibri"/>
          <w:sz w:val="20"/>
          <w:szCs w:val="20"/>
        </w:rPr>
        <w:t>en</w:t>
      </w:r>
      <w:proofErr w:type="spellEnd"/>
      <w:r w:rsidRPr="00170F6B">
        <w:rPr>
          <w:rFonts w:ascii="Calibri" w:hAnsi="Calibri" w:cs="Calibri"/>
          <w:sz w:val="20"/>
          <w:szCs w:val="20"/>
        </w:rPr>
        <w:t xml:space="preserve"> la </w:t>
      </w:r>
      <w:proofErr w:type="spellStart"/>
      <w:r w:rsidRPr="00170F6B">
        <w:rPr>
          <w:rFonts w:ascii="Calibri" w:hAnsi="Calibri" w:cs="Calibri"/>
          <w:sz w:val="20"/>
          <w:szCs w:val="20"/>
        </w:rPr>
        <w:t>gobernanza</w:t>
      </w:r>
      <w:proofErr w:type="spellEnd"/>
      <w:r w:rsidRPr="00170F6B">
        <w:rPr>
          <w:rFonts w:ascii="Calibri" w:hAnsi="Calibri" w:cs="Calibri"/>
          <w:sz w:val="20"/>
          <w:szCs w:val="20"/>
        </w:rPr>
        <w:t>.” Universidad Nacional de Colombia / International Labour Organisation.</w:t>
      </w:r>
      <w:r w:rsidR="00D64B9F">
        <w:rPr>
          <w:rFonts w:ascii="Calibri" w:hAnsi="Calibri" w:cs="Calibri"/>
          <w:sz w:val="20"/>
          <w:szCs w:val="20"/>
        </w:rPr>
        <w:t xml:space="preserve"> Online.</w:t>
      </w:r>
      <w:r w:rsidRPr="00170F6B">
        <w:rPr>
          <w:rFonts w:ascii="Calibri" w:hAnsi="Calibri" w:cs="Calibri"/>
          <w:sz w:val="20"/>
          <w:szCs w:val="20"/>
        </w:rPr>
        <w:t xml:space="preserve"> 2024</w:t>
      </w:r>
      <w:r w:rsidR="00D64B9F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 xml:space="preserve">“Algorithmic Management and Worker Freedom: the problem of managerial randomness.” University College Dublin Workshop on Governance by Numbers. </w:t>
      </w:r>
      <w:r w:rsidR="00D64B9F">
        <w:rPr>
          <w:rFonts w:ascii="Calibri" w:hAnsi="Calibri" w:cs="Calibri"/>
          <w:sz w:val="20"/>
          <w:szCs w:val="20"/>
        </w:rPr>
        <w:t xml:space="preserve">Dublin. </w:t>
      </w:r>
      <w:r w:rsidRPr="00170F6B">
        <w:rPr>
          <w:rFonts w:ascii="Calibri" w:hAnsi="Calibri" w:cs="Calibri"/>
          <w:sz w:val="20"/>
          <w:szCs w:val="20"/>
        </w:rPr>
        <w:t>2023</w:t>
      </w:r>
      <w:r w:rsidR="00D64B9F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lastRenderedPageBreak/>
        <w:t>“</w:t>
      </w:r>
      <w:hyperlink r:id="rId14" w:tgtFrame="_blank" w:history="1">
        <w:r w:rsidRPr="00170F6B">
          <w:rPr>
            <w:rStyle w:val="Hyperlink"/>
            <w:rFonts w:ascii="Calibri" w:hAnsi="Calibri" w:cs="Calibri"/>
            <w:sz w:val="20"/>
            <w:szCs w:val="20"/>
          </w:rPr>
          <w:t>USA &amp; China AI Regulation: implications for the world of work</w:t>
        </w:r>
      </w:hyperlink>
      <w:r w:rsidRPr="00170F6B">
        <w:rPr>
          <w:rFonts w:ascii="Calibri" w:hAnsi="Calibri" w:cs="Calibri"/>
          <w:sz w:val="20"/>
          <w:szCs w:val="20"/>
        </w:rPr>
        <w:t>”. ILO Policy Observatory on Work in the Digital Economy” International Labour Organization. </w:t>
      </w:r>
      <w:r w:rsidR="00D64B9F">
        <w:rPr>
          <w:rFonts w:ascii="Calibri" w:hAnsi="Calibri" w:cs="Calibri"/>
          <w:sz w:val="20"/>
          <w:szCs w:val="20"/>
        </w:rPr>
        <w:t xml:space="preserve">Geneva. </w:t>
      </w:r>
      <w:r w:rsidRPr="00170F6B">
        <w:rPr>
          <w:rFonts w:ascii="Calibri" w:hAnsi="Calibri" w:cs="Calibri"/>
          <w:sz w:val="20"/>
          <w:szCs w:val="20"/>
        </w:rPr>
        <w:t>2022</w:t>
      </w:r>
      <w:r w:rsidR="00D64B9F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“</w:t>
      </w:r>
      <w:hyperlink r:id="rId15" w:tgtFrame="_blank" w:history="1">
        <w:r w:rsidRPr="00170F6B">
          <w:rPr>
            <w:rStyle w:val="Hyperlink"/>
            <w:rFonts w:ascii="Calibri" w:hAnsi="Calibri" w:cs="Calibri"/>
            <w:sz w:val="20"/>
            <w:szCs w:val="20"/>
          </w:rPr>
          <w:t>Neo-roman freedom in economic life: The experience of Bristolian parcel delivery workers</w:t>
        </w:r>
      </w:hyperlink>
      <w:r w:rsidRPr="00170F6B">
        <w:rPr>
          <w:rFonts w:ascii="Calibri" w:hAnsi="Calibri" w:cs="Calibri"/>
          <w:sz w:val="20"/>
          <w:szCs w:val="20"/>
        </w:rPr>
        <w:t xml:space="preserve">” Institute for Policy Research. </w:t>
      </w:r>
      <w:r w:rsidR="00D64B9F">
        <w:rPr>
          <w:rFonts w:ascii="Calibri" w:hAnsi="Calibri" w:cs="Calibri"/>
          <w:sz w:val="20"/>
          <w:szCs w:val="20"/>
        </w:rPr>
        <w:t xml:space="preserve">Bath. </w:t>
      </w:r>
      <w:r w:rsidRPr="00170F6B">
        <w:rPr>
          <w:rFonts w:ascii="Calibri" w:hAnsi="Calibri" w:cs="Calibri"/>
          <w:sz w:val="20"/>
          <w:szCs w:val="20"/>
        </w:rPr>
        <w:t>2019</w:t>
      </w:r>
      <w:r w:rsidR="00D64B9F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"Neoliberalism and the Decline of Dissent.” Conference Paper, Eastern Sociological Society.</w:t>
      </w:r>
      <w:r w:rsidR="00D64B9F">
        <w:rPr>
          <w:rFonts w:ascii="Calibri" w:hAnsi="Calibri" w:cs="Calibri"/>
          <w:sz w:val="20"/>
          <w:szCs w:val="20"/>
        </w:rPr>
        <w:t xml:space="preserve"> Boston.</w:t>
      </w:r>
      <w:r w:rsidRPr="00170F6B">
        <w:rPr>
          <w:rFonts w:ascii="Calibri" w:hAnsi="Calibri" w:cs="Calibri"/>
          <w:sz w:val="20"/>
          <w:szCs w:val="20"/>
        </w:rPr>
        <w:t xml:space="preserve"> 2016</w:t>
      </w:r>
      <w:r w:rsidR="00D64B9F">
        <w:rPr>
          <w:rFonts w:ascii="Calibri" w:hAnsi="Calibri" w:cs="Calibri"/>
          <w:sz w:val="20"/>
          <w:szCs w:val="20"/>
        </w:rPr>
        <w:t>.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b/>
          <w:bCs/>
          <w:color w:val="2F5496" w:themeColor="accent1" w:themeShade="BF"/>
        </w:rPr>
      </w:pPr>
      <w:r w:rsidRPr="00170F6B">
        <w:rPr>
          <w:rFonts w:ascii="Calibri" w:hAnsi="Calibri" w:cs="Calibri"/>
          <w:b/>
          <w:bCs/>
          <w:color w:val="2F5496" w:themeColor="accent1" w:themeShade="BF"/>
        </w:rPr>
        <w:t xml:space="preserve">REFERENCES 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Graham Room, Professor of European Social Policy, University of Bath, </w:t>
      </w:r>
      <w:hyperlink r:id="rId16" w:tgtFrame="_blank" w:history="1">
        <w:r w:rsidRPr="00170F6B">
          <w:rPr>
            <w:rStyle w:val="Hyperlink"/>
            <w:rFonts w:ascii="Calibri" w:hAnsi="Calibri" w:cs="Calibri"/>
            <w:sz w:val="20"/>
            <w:szCs w:val="20"/>
          </w:rPr>
          <w:t>G.J.Room@bath.ac.uk</w:t>
        </w:r>
      </w:hyperlink>
      <w:r w:rsidRPr="00170F6B">
        <w:rPr>
          <w:rFonts w:ascii="Calibri" w:hAnsi="Calibri" w:cs="Calibri"/>
          <w:sz w:val="20"/>
          <w:szCs w:val="20"/>
        </w:rPr>
        <w:br/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Emma Carmel, Professor of Governance and Public Policy, University of Bath, </w:t>
      </w:r>
      <w:hyperlink r:id="rId17" w:tgtFrame="_blank" w:history="1">
        <w:r w:rsidRPr="00170F6B">
          <w:rPr>
            <w:rStyle w:val="Hyperlink"/>
            <w:rFonts w:ascii="Calibri" w:hAnsi="Calibri" w:cs="Calibri"/>
            <w:sz w:val="20"/>
            <w:szCs w:val="20"/>
          </w:rPr>
          <w:t>sssekc@bath.ac.uk</w:t>
        </w:r>
      </w:hyperlink>
      <w:r w:rsidRPr="00170F6B">
        <w:rPr>
          <w:rFonts w:ascii="Calibri" w:hAnsi="Calibri" w:cs="Calibri"/>
          <w:sz w:val="20"/>
          <w:szCs w:val="20"/>
        </w:rPr>
        <w:br/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  <w:r w:rsidRPr="00170F6B">
        <w:rPr>
          <w:rFonts w:ascii="Calibri" w:hAnsi="Calibri" w:cs="Calibri"/>
          <w:sz w:val="20"/>
          <w:szCs w:val="20"/>
        </w:rPr>
        <w:t>Nick Fahy, Director of Research, RAND Europe, </w:t>
      </w:r>
      <w:hyperlink r:id="rId18" w:tgtFrame="_blank" w:history="1">
        <w:r w:rsidRPr="00170F6B">
          <w:rPr>
            <w:rStyle w:val="Hyperlink"/>
            <w:rFonts w:ascii="Calibri" w:hAnsi="Calibri" w:cs="Calibri"/>
            <w:sz w:val="20"/>
            <w:szCs w:val="20"/>
          </w:rPr>
          <w:t>n</w:t>
        </w:r>
      </w:hyperlink>
      <w:r w:rsidRPr="00170F6B">
        <w:rPr>
          <w:rFonts w:ascii="Calibri" w:hAnsi="Calibri" w:cs="Calibri"/>
          <w:sz w:val="20"/>
          <w:szCs w:val="20"/>
        </w:rPr>
        <w:t>fahy@randeurope.org</w:t>
      </w: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p w:rsidR="00170F6B" w:rsidRPr="00170F6B" w:rsidRDefault="00170F6B" w:rsidP="00170F6B">
      <w:pPr>
        <w:tabs>
          <w:tab w:val="left" w:pos="3074"/>
        </w:tabs>
        <w:rPr>
          <w:rFonts w:ascii="Calibri" w:hAnsi="Calibri" w:cs="Calibri"/>
          <w:sz w:val="20"/>
          <w:szCs w:val="20"/>
        </w:rPr>
      </w:pPr>
    </w:p>
    <w:sectPr w:rsidR="00170F6B" w:rsidRPr="00170F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848F4"/>
    <w:multiLevelType w:val="multilevel"/>
    <w:tmpl w:val="05EED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8A131C"/>
    <w:multiLevelType w:val="hybridMultilevel"/>
    <w:tmpl w:val="9A9486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BF7DA6"/>
    <w:multiLevelType w:val="multilevel"/>
    <w:tmpl w:val="4030E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3818DB"/>
    <w:multiLevelType w:val="multilevel"/>
    <w:tmpl w:val="615EA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557DEB"/>
    <w:multiLevelType w:val="multilevel"/>
    <w:tmpl w:val="0C405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7D1856"/>
    <w:multiLevelType w:val="hybridMultilevel"/>
    <w:tmpl w:val="7D00F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C70C3C"/>
    <w:multiLevelType w:val="multilevel"/>
    <w:tmpl w:val="2DD83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1B1F91"/>
    <w:multiLevelType w:val="multilevel"/>
    <w:tmpl w:val="8C42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1633A9"/>
    <w:multiLevelType w:val="hybridMultilevel"/>
    <w:tmpl w:val="763E82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47582C"/>
    <w:multiLevelType w:val="multilevel"/>
    <w:tmpl w:val="9E8C0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E7501F"/>
    <w:multiLevelType w:val="multilevel"/>
    <w:tmpl w:val="18FAB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F870F7"/>
    <w:multiLevelType w:val="multilevel"/>
    <w:tmpl w:val="1E9EF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2443D33"/>
    <w:multiLevelType w:val="hybridMultilevel"/>
    <w:tmpl w:val="3210E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7B4CD7"/>
    <w:multiLevelType w:val="multilevel"/>
    <w:tmpl w:val="33CEC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9900DF"/>
    <w:multiLevelType w:val="multilevel"/>
    <w:tmpl w:val="3FFCF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094C94"/>
    <w:multiLevelType w:val="multilevel"/>
    <w:tmpl w:val="1E98E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062629"/>
    <w:multiLevelType w:val="hybridMultilevel"/>
    <w:tmpl w:val="6B703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345E90"/>
    <w:multiLevelType w:val="multilevel"/>
    <w:tmpl w:val="1F0C7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273FCD"/>
    <w:multiLevelType w:val="multilevel"/>
    <w:tmpl w:val="A9F00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8291647">
    <w:abstractNumId w:val="1"/>
  </w:num>
  <w:num w:numId="2" w16cid:durableId="573123504">
    <w:abstractNumId w:val="17"/>
  </w:num>
  <w:num w:numId="3" w16cid:durableId="1524510123">
    <w:abstractNumId w:val="5"/>
  </w:num>
  <w:num w:numId="4" w16cid:durableId="1842505192">
    <w:abstractNumId w:val="12"/>
  </w:num>
  <w:num w:numId="5" w16cid:durableId="1415976104">
    <w:abstractNumId w:val="11"/>
  </w:num>
  <w:num w:numId="6" w16cid:durableId="142165309">
    <w:abstractNumId w:val="16"/>
  </w:num>
  <w:num w:numId="7" w16cid:durableId="1195197013">
    <w:abstractNumId w:val="3"/>
  </w:num>
  <w:num w:numId="8" w16cid:durableId="758598845">
    <w:abstractNumId w:val="8"/>
  </w:num>
  <w:num w:numId="9" w16cid:durableId="1036657270">
    <w:abstractNumId w:val="18"/>
  </w:num>
  <w:num w:numId="10" w16cid:durableId="665979893">
    <w:abstractNumId w:val="14"/>
  </w:num>
  <w:num w:numId="11" w16cid:durableId="1788354643">
    <w:abstractNumId w:val="9"/>
  </w:num>
  <w:num w:numId="12" w16cid:durableId="1861507325">
    <w:abstractNumId w:val="15"/>
  </w:num>
  <w:num w:numId="13" w16cid:durableId="373310278">
    <w:abstractNumId w:val="4"/>
  </w:num>
  <w:num w:numId="14" w16cid:durableId="832454492">
    <w:abstractNumId w:val="13"/>
  </w:num>
  <w:num w:numId="15" w16cid:durableId="1430081274">
    <w:abstractNumId w:val="2"/>
  </w:num>
  <w:num w:numId="16" w16cid:durableId="1478449374">
    <w:abstractNumId w:val="0"/>
  </w:num>
  <w:num w:numId="17" w16cid:durableId="1771582597">
    <w:abstractNumId w:val="10"/>
  </w:num>
  <w:num w:numId="18" w16cid:durableId="850026977">
    <w:abstractNumId w:val="7"/>
  </w:num>
  <w:num w:numId="19" w16cid:durableId="18939550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F6B"/>
    <w:rsid w:val="00170F6B"/>
    <w:rsid w:val="00177E61"/>
    <w:rsid w:val="002C655B"/>
    <w:rsid w:val="00376E0B"/>
    <w:rsid w:val="00473894"/>
    <w:rsid w:val="00B7377B"/>
    <w:rsid w:val="00BE5E2B"/>
    <w:rsid w:val="00D64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93546"/>
  <w15:chartTrackingRefBased/>
  <w15:docId w15:val="{0902EB89-A855-C34D-A31F-E0ADC48EE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0F6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F6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70F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70F6B"/>
    <w:pPr>
      <w:ind w:left="720"/>
      <w:contextualSpacing/>
    </w:pPr>
  </w:style>
  <w:style w:type="character" w:customStyle="1" w:styleId="oypena">
    <w:name w:val="oypena"/>
    <w:basedOn w:val="DefaultParagraphFont"/>
    <w:rsid w:val="0017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4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sha.europa.eu/en/publications/cognitive-automation-what-are-eu-and-member-states-doing-protect-workers" TargetMode="External"/><Relationship Id="rId13" Type="http://schemas.openxmlformats.org/officeDocument/2006/relationships/hyperlink" Target="https://arcdigital.media/social-media-censorship-and-the-insufficiency-of-liberal-freedom-190adb0a06e4" TargetMode="External"/><Relationship Id="rId18" Type="http://schemas.openxmlformats.org/officeDocument/2006/relationships/hyperlink" Target="mailto:Giulia_Maistrello@randeurop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sha.europa.eu/en/publications/cognitive-automation-implications-occupational-safety-and-health" TargetMode="External"/><Relationship Id="rId12" Type="http://schemas.openxmlformats.org/officeDocument/2006/relationships/hyperlink" Target="https://epochemagazine.org/38/the-gig-economy-flexibility-and-workplace-freedom/" TargetMode="External"/><Relationship Id="rId17" Type="http://schemas.openxmlformats.org/officeDocument/2006/relationships/hyperlink" Target="mailto:sssekc@bath.ac.uk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earchportal.bath.ac.uk/en/persons/graham-ro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olicycommons.net/artifacts/4833808/employment-and-age-in-the-cambridgeshire-and-peterborough-area/5670512/" TargetMode="External"/><Relationship Id="rId11" Type="http://schemas.openxmlformats.org/officeDocument/2006/relationships/hyperlink" Target="https://doi.org/10.20935/AL446" TargetMode="External"/><Relationship Id="rId5" Type="http://schemas.openxmlformats.org/officeDocument/2006/relationships/hyperlink" Target="https://policycommons.net/artifacts/4833775/feasibility-study-for-a-what-works-centre-for-safety/5670489/" TargetMode="External"/><Relationship Id="rId15" Type="http://schemas.openxmlformats.org/officeDocument/2006/relationships/hyperlink" Target="https://www.bath.ac.uk/events/annual-ipr-doctoral-public-policy-research-seminar-2019/" TargetMode="External"/><Relationship Id="rId10" Type="http://schemas.openxmlformats.org/officeDocument/2006/relationships/hyperlink" Target="https://theconversation.com/horrible-bosses-how-algorithm-managers-are-taking-over-the-office-191307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sha.europa.eu/en/publications/cognitive-automation-impact-risks-and-opportunities-occupational-safety-and-health" TargetMode="External"/><Relationship Id="rId14" Type="http://schemas.openxmlformats.org/officeDocument/2006/relationships/hyperlink" Target="https://www.ilo.org/global/research/events-courses/WCMS_85770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1337</Words>
  <Characters>7715</Characters>
  <Application>Microsoft Office Word</Application>
  <DocSecurity>0</DocSecurity>
  <Lines>115</Lines>
  <Paragraphs>16</Paragraphs>
  <ScaleCrop>false</ScaleCrop>
  <Company/>
  <LinksUpToDate>false</LinksUpToDate>
  <CharactersWithSpaces>9036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Donoghue, Robert S</dc:creator>
  <cp:keywords/>
  <dc:description/>
  <cp:lastModifiedBy>Donoghue, Robert S</cp:lastModifiedBy>
  <cp:revision>6</cp:revision>
  <dcterms:created xsi:type="dcterms:W3CDTF">2025-02-25T11:02:00Z</dcterms:created>
  <dcterms:modified xsi:type="dcterms:W3CDTF">2025-02-25T11:49:00Z</dcterms:modified>
</cp:coreProperties>
</file>